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AE5C" w14:textId="77777777" w:rsidR="00430D1B" w:rsidRPr="00876A5B" w:rsidRDefault="008942F0" w:rsidP="00D04B34">
      <w:pPr>
        <w:ind w:left="2832" w:hanging="2832"/>
        <w:jc w:val="center"/>
        <w:rPr>
          <w:rFonts w:ascii="Merriweather" w:hAnsi="Merriweather" w:cs="Calibri Light"/>
          <w:b/>
          <w:sz w:val="18"/>
          <w:szCs w:val="18"/>
        </w:rPr>
      </w:pPr>
      <w:r w:rsidRPr="00876A5B">
        <w:rPr>
          <w:rFonts w:ascii="Merriweather" w:hAnsi="Merriweather" w:cs="Calibri Light"/>
          <w:b/>
          <w:sz w:val="18"/>
          <w:szCs w:val="18"/>
        </w:rPr>
        <w:t>Izvedbeni plan nastave (</w:t>
      </w:r>
      <w:r w:rsidR="0010332B" w:rsidRPr="00876A5B">
        <w:rPr>
          <w:rFonts w:ascii="Merriweather" w:hAnsi="Merriweather" w:cs="Calibri Light"/>
          <w:b/>
          <w:i/>
          <w:sz w:val="18"/>
          <w:szCs w:val="18"/>
        </w:rPr>
        <w:t>syllabus</w:t>
      </w:r>
      <w:r w:rsidR="00F82834" w:rsidRPr="00876A5B">
        <w:rPr>
          <w:rStyle w:val="FootnoteReference"/>
          <w:rFonts w:ascii="Merriweather" w:hAnsi="Merriweather" w:cs="Calibri Light"/>
          <w:sz w:val="18"/>
          <w:szCs w:val="18"/>
        </w:rPr>
        <w:footnoteReference w:id="1"/>
      </w:r>
      <w:r w:rsidRPr="00876A5B">
        <w:rPr>
          <w:rFonts w:ascii="Merriweather" w:hAnsi="Merriweather" w:cs="Calibri Light"/>
          <w:b/>
          <w:sz w:val="18"/>
          <w:szCs w:val="18"/>
        </w:rPr>
        <w:t>)</w:t>
      </w:r>
    </w:p>
    <w:tbl>
      <w:tblPr>
        <w:tblStyle w:val="TableGrid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876A5B" w14:paraId="387791F6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106C2A2" w14:textId="77777777" w:rsidR="004B553E" w:rsidRPr="000C50DF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Sastavnica</w:t>
            </w:r>
          </w:p>
        </w:tc>
        <w:tc>
          <w:tcPr>
            <w:tcW w:w="5195" w:type="dxa"/>
            <w:gridSpan w:val="24"/>
            <w:vAlign w:val="center"/>
          </w:tcPr>
          <w:p w14:paraId="3B659812" w14:textId="77777777" w:rsidR="004B553E" w:rsidRPr="000C50DF" w:rsidRDefault="00D04B34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387AE80" w14:textId="77777777" w:rsidR="004B553E" w:rsidRPr="000C50DF" w:rsidRDefault="004B553E" w:rsidP="0079745E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akad. god.</w:t>
            </w:r>
          </w:p>
        </w:tc>
        <w:tc>
          <w:tcPr>
            <w:tcW w:w="1534" w:type="dxa"/>
            <w:gridSpan w:val="4"/>
            <w:vAlign w:val="center"/>
          </w:tcPr>
          <w:p w14:paraId="473E34AC" w14:textId="2E6566C8" w:rsidR="004B553E" w:rsidRPr="000C50DF" w:rsidRDefault="006A221A" w:rsidP="0079745E">
            <w:pPr>
              <w:spacing w:before="20" w:after="20"/>
              <w:jc w:val="center"/>
              <w:rPr>
                <w:rFonts w:ascii="Merriweather" w:hAnsi="Merriweather" w:cs="Calibri Light"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sz w:val="18"/>
                <w:szCs w:val="18"/>
              </w:rPr>
              <w:t>202</w:t>
            </w:r>
            <w:r w:rsidR="001C495D" w:rsidRPr="000C50DF">
              <w:rPr>
                <w:rFonts w:ascii="Merriweather" w:hAnsi="Merriweather" w:cs="Calibri Light"/>
                <w:sz w:val="18"/>
                <w:szCs w:val="18"/>
              </w:rPr>
              <w:t>4</w:t>
            </w:r>
            <w:r w:rsidR="00FF1020" w:rsidRPr="000C50DF">
              <w:rPr>
                <w:rFonts w:ascii="Merriweather" w:hAnsi="Merriweather" w:cs="Calibri Light"/>
                <w:sz w:val="18"/>
                <w:szCs w:val="18"/>
              </w:rPr>
              <w:t>./</w:t>
            </w:r>
            <w:r w:rsidRPr="000C50DF">
              <w:rPr>
                <w:rFonts w:ascii="Merriweather" w:hAnsi="Merriweather" w:cs="Calibri Light"/>
                <w:sz w:val="18"/>
                <w:szCs w:val="18"/>
              </w:rPr>
              <w:t>202</w:t>
            </w:r>
            <w:r w:rsidR="001C495D" w:rsidRPr="000C50DF">
              <w:rPr>
                <w:rFonts w:ascii="Merriweather" w:hAnsi="Merriweather" w:cs="Calibri Light"/>
                <w:sz w:val="18"/>
                <w:szCs w:val="18"/>
              </w:rPr>
              <w:t>5</w:t>
            </w:r>
            <w:r w:rsidR="00FF1020" w:rsidRPr="000C50DF">
              <w:rPr>
                <w:rFonts w:ascii="Merriweather" w:hAnsi="Merriweather" w:cs="Calibri Light"/>
                <w:sz w:val="18"/>
                <w:szCs w:val="18"/>
              </w:rPr>
              <w:t>.</w:t>
            </w:r>
          </w:p>
        </w:tc>
      </w:tr>
      <w:tr w:rsidR="004B553E" w:rsidRPr="00876A5B" w14:paraId="654BFAD1" w14:textId="77777777" w:rsidTr="006A221A">
        <w:trPr>
          <w:trHeight w:val="178"/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5E275E49" w14:textId="77777777" w:rsidR="004B553E" w:rsidRPr="000C50DF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Naziv kolegija</w:t>
            </w:r>
          </w:p>
        </w:tc>
        <w:tc>
          <w:tcPr>
            <w:tcW w:w="5195" w:type="dxa"/>
            <w:gridSpan w:val="24"/>
            <w:vAlign w:val="center"/>
          </w:tcPr>
          <w:p w14:paraId="27590125" w14:textId="77777777" w:rsidR="004B553E" w:rsidRPr="000C50DF" w:rsidRDefault="00D04B34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Morfologija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C8DAE21" w14:textId="77777777" w:rsidR="004B553E" w:rsidRPr="000C50DF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ECTS</w:t>
            </w:r>
          </w:p>
        </w:tc>
        <w:tc>
          <w:tcPr>
            <w:tcW w:w="1534" w:type="dxa"/>
            <w:gridSpan w:val="4"/>
          </w:tcPr>
          <w:p w14:paraId="025DD89F" w14:textId="77777777" w:rsidR="004B553E" w:rsidRPr="000C50DF" w:rsidRDefault="00D04B34" w:rsidP="0079745E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3</w:t>
            </w:r>
          </w:p>
        </w:tc>
      </w:tr>
      <w:tr w:rsidR="004B553E" w:rsidRPr="00876A5B" w14:paraId="2C33DC20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2EE20077" w14:textId="77777777" w:rsidR="004B553E" w:rsidRPr="000C50DF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2F38AC39" w14:textId="5E82967E" w:rsidR="004B553E" w:rsidRPr="000C50DF" w:rsidRDefault="0041078D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0C50DF">
              <w:rPr>
                <w:rFonts w:ascii="Merriweather" w:hAnsi="Merriweather" w:cs="Calibri Light"/>
                <w:b/>
                <w:sz w:val="18"/>
                <w:szCs w:val="18"/>
              </w:rPr>
              <w:t>Anglistika</w:t>
            </w:r>
          </w:p>
        </w:tc>
      </w:tr>
      <w:tr w:rsidR="004B553E" w:rsidRPr="00876A5B" w14:paraId="7E496CCD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909429" w14:textId="77777777" w:rsidR="004B553E" w:rsidRPr="001C495D" w:rsidRDefault="004B553E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3190CF3F" w14:textId="18038F48" w:rsidR="004B553E" w:rsidRPr="001C495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B34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307450" w:rsidRPr="001C495D">
              <w:rPr>
                <w:rFonts w:ascii="Merriweather" w:hAnsi="Merriweather" w:cs="Calibri Light"/>
                <w:sz w:val="16"/>
                <w:szCs w:val="16"/>
              </w:rPr>
              <w:t>prijediplomski</w:t>
            </w:r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1B6B8260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675523A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integrirani</w:t>
            </w:r>
          </w:p>
        </w:tc>
        <w:tc>
          <w:tcPr>
            <w:tcW w:w="2292" w:type="dxa"/>
            <w:gridSpan w:val="7"/>
            <w:shd w:val="clear" w:color="auto" w:fill="FFFFFF" w:themeFill="background1"/>
          </w:tcPr>
          <w:p w14:paraId="5DE03B22" w14:textId="77777777" w:rsidR="004B553E" w:rsidRPr="001C495D" w:rsidRDefault="00000000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poslijediplomski</w:t>
            </w:r>
          </w:p>
        </w:tc>
      </w:tr>
      <w:tr w:rsidR="004B553E" w:rsidRPr="00876A5B" w14:paraId="07573B6B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1DFF26D" w14:textId="77777777" w:rsidR="004B553E" w:rsidRPr="001C495D" w:rsidRDefault="004B553E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67642679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824D8DC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B34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8A02ECA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042FBE13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4.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vAlign w:val="center"/>
          </w:tcPr>
          <w:p w14:paraId="369B8557" w14:textId="77777777" w:rsidR="004B553E" w:rsidRPr="001C495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C495D">
              <w:rPr>
                <w:rFonts w:ascii="Merriweather" w:hAnsi="Merriweather" w:cs="Calibri Light"/>
                <w:sz w:val="16"/>
                <w:szCs w:val="16"/>
              </w:rPr>
              <w:t xml:space="preserve"> 5.</w:t>
            </w:r>
          </w:p>
        </w:tc>
      </w:tr>
      <w:tr w:rsidR="001C495D" w:rsidRPr="00876A5B" w14:paraId="0587592B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88F1F0F" w14:textId="38448ACB" w:rsidR="001C495D" w:rsidRPr="001C495D" w:rsidRDefault="001C495D" w:rsidP="001C495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3"/>
          </w:tcPr>
          <w:p w14:paraId="20FD177F" w14:textId="77777777" w:rsidR="001C495D" w:rsidRPr="001C495D" w:rsidRDefault="00000000" w:rsidP="001C495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08974AF" w14:textId="287B36FC" w:rsidR="001C495D" w:rsidRPr="001C495D" w:rsidRDefault="00000000" w:rsidP="001C495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44E3B16" w14:textId="0520E7EA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83D88D8" w14:textId="3C765F48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BB795BF" w14:textId="3294B4D7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CF87A9C" w14:textId="3AE13DD3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416" w:type="dxa"/>
            <w:gridSpan w:val="8"/>
            <w:vAlign w:val="center"/>
          </w:tcPr>
          <w:p w14:paraId="03846B52" w14:textId="1C74CAE3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A15E88F" w14:textId="334A2BA7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1C495D" w:rsidRPr="00876A5B" w14:paraId="663B677E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4748856" w14:textId="30B08BD6" w:rsidR="001C495D" w:rsidRPr="001C495D" w:rsidRDefault="001C495D" w:rsidP="001C495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759F0A2E" w14:textId="5687D210" w:rsidR="001C495D" w:rsidRPr="001C495D" w:rsidRDefault="00000000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715676BA" w14:textId="708E0490" w:rsidR="001C495D" w:rsidRPr="001C495D" w:rsidRDefault="00000000" w:rsidP="001C495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4" w:type="dxa"/>
            <w:gridSpan w:val="11"/>
            <w:vAlign w:val="center"/>
          </w:tcPr>
          <w:p w14:paraId="1D15ACB1" w14:textId="4B06D9C1" w:rsidR="001C495D" w:rsidRPr="001C495D" w:rsidRDefault="00000000" w:rsidP="001C495D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638EC429" w14:textId="0B0EAA5C" w:rsidR="001C495D" w:rsidRPr="001C495D" w:rsidRDefault="001C495D" w:rsidP="001C49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89B01FB" w14:textId="77777777" w:rsidR="001C495D" w:rsidRPr="001C495D" w:rsidRDefault="00000000" w:rsidP="001C495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145D9C21" w14:textId="3851548C" w:rsidR="001C495D" w:rsidRPr="001C495D" w:rsidRDefault="00000000" w:rsidP="001C495D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C495D" w:rsidRPr="001C495D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876A5B" w14:paraId="0DEBE174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0FFE2DE2" w14:textId="77777777" w:rsidR="00453362" w:rsidRPr="001C495D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Opterećenje</w:t>
            </w:r>
            <w:r w:rsidR="00FC2198" w:rsidRPr="001C495D">
              <w:rPr>
                <w:rFonts w:ascii="Merriweather" w:hAnsi="Merriweather" w:cs="Calibr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2532FA2A" w14:textId="77777777" w:rsidR="00453362" w:rsidRPr="001C495D" w:rsidRDefault="00316817" w:rsidP="00D5523D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2FB3E68A" w14:textId="77777777" w:rsidR="00453362" w:rsidRPr="001C495D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23A00856" w14:textId="77777777" w:rsidR="00453362" w:rsidRPr="001C495D" w:rsidRDefault="00316817" w:rsidP="00FF1020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4D6C9AAA" w14:textId="77777777" w:rsidR="00453362" w:rsidRPr="001C495D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5A765A47" w14:textId="77777777" w:rsidR="00453362" w:rsidRPr="001C495D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09722C90" w14:textId="77777777" w:rsidR="00453362" w:rsidRPr="001C495D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7C2450D3" w14:textId="77777777" w:rsidR="00453362" w:rsidRPr="001C495D" w:rsidRDefault="00453362" w:rsidP="0079745E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4" w:type="dxa"/>
            <w:gridSpan w:val="6"/>
          </w:tcPr>
          <w:p w14:paraId="183D978E" w14:textId="77777777" w:rsidR="00453362" w:rsidRPr="001C495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B34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C495D">
              <w:rPr>
                <w:rFonts w:ascii="Merriweather" w:hAnsi="Merriweather" w:cs="Calibri Light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C495D">
              <w:rPr>
                <w:rFonts w:ascii="Merriweather" w:hAnsi="Merriweather" w:cs="Calibri Light"/>
                <w:sz w:val="16"/>
                <w:szCs w:val="16"/>
              </w:rPr>
              <w:t xml:space="preserve"> NE</w:t>
            </w:r>
          </w:p>
        </w:tc>
      </w:tr>
      <w:tr w:rsidR="00453362" w:rsidRPr="00876A5B" w14:paraId="5CECC312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2D34E1D4" w14:textId="77777777" w:rsidR="00453362" w:rsidRPr="001C495D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5" w:type="dxa"/>
            <w:gridSpan w:val="12"/>
            <w:vAlign w:val="center"/>
          </w:tcPr>
          <w:p w14:paraId="60C84ED1" w14:textId="77777777" w:rsidR="00453362" w:rsidRPr="001C495D" w:rsidRDefault="00D04B34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Dvorana 143, Obala kralja Petra Krešimira IV. 2, Zadar</w:t>
            </w:r>
          </w:p>
          <w:p w14:paraId="7F8488BB" w14:textId="77777777" w:rsidR="00D04B34" w:rsidRPr="001C495D" w:rsidRDefault="00D15543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 xml:space="preserve">Utorak 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1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>3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:00 – 1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>5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: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>0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0</w:t>
            </w:r>
          </w:p>
          <w:p w14:paraId="1A7E61DA" w14:textId="77777777" w:rsidR="00D04B34" w:rsidRPr="001C495D" w:rsidRDefault="00D04B34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 xml:space="preserve">Četvrtak </w:t>
            </w:r>
            <w:r w:rsidR="00D15543" w:rsidRPr="001C495D">
              <w:rPr>
                <w:rFonts w:ascii="Merriweather" w:hAnsi="Merriweather" w:cs="Calibri Light"/>
                <w:sz w:val="16"/>
                <w:szCs w:val="16"/>
              </w:rPr>
              <w:t>8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 xml:space="preserve">:00 – </w:t>
            </w:r>
            <w:r w:rsidR="00D15543" w:rsidRPr="001C495D">
              <w:rPr>
                <w:rFonts w:ascii="Merriweather" w:hAnsi="Merriweather" w:cs="Calibri Light"/>
                <w:sz w:val="16"/>
                <w:szCs w:val="16"/>
              </w:rPr>
              <w:t>10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>:00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  <w:vAlign w:val="center"/>
          </w:tcPr>
          <w:p w14:paraId="7D7C9BAB" w14:textId="77777777" w:rsidR="00453362" w:rsidRPr="001C495D" w:rsidRDefault="00453362" w:rsidP="00FF1020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06CE728" w14:textId="670B67C3" w:rsidR="00453362" w:rsidRPr="001C495D" w:rsidRDefault="001C495D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e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ngleski</w:t>
            </w:r>
          </w:p>
        </w:tc>
      </w:tr>
      <w:tr w:rsidR="00453362" w:rsidRPr="00876A5B" w14:paraId="0F74E480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20465B4" w14:textId="77777777" w:rsidR="00453362" w:rsidRPr="001C495D" w:rsidRDefault="00453362" w:rsidP="00FF1020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Početak nastave</w:t>
            </w:r>
          </w:p>
        </w:tc>
        <w:tc>
          <w:tcPr>
            <w:tcW w:w="2495" w:type="dxa"/>
            <w:gridSpan w:val="12"/>
          </w:tcPr>
          <w:p w14:paraId="7DBE6DE6" w14:textId="68787B93" w:rsidR="00453362" w:rsidRPr="001C495D" w:rsidRDefault="007A74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2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 xml:space="preserve">. 10. </w:t>
            </w:r>
            <w:r w:rsidR="00807424" w:rsidRPr="001C495D">
              <w:rPr>
                <w:rFonts w:ascii="Merriweather" w:hAnsi="Merriweather" w:cs="Calibri Light"/>
                <w:sz w:val="16"/>
                <w:szCs w:val="16"/>
              </w:rPr>
              <w:t>202</w:t>
            </w:r>
            <w:r w:rsidR="001C495D" w:rsidRPr="001C495D">
              <w:rPr>
                <w:rFonts w:ascii="Merriweather" w:hAnsi="Merriweather" w:cs="Calibri Light"/>
                <w:sz w:val="16"/>
                <w:szCs w:val="16"/>
              </w:rPr>
              <w:t>4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.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</w:tcPr>
          <w:p w14:paraId="0D8B03A6" w14:textId="77777777" w:rsidR="00453362" w:rsidRPr="001C495D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2917C1DC" w14:textId="237EA192" w:rsidR="00453362" w:rsidRPr="001C495D" w:rsidRDefault="0080742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2</w:t>
            </w:r>
            <w:r w:rsidR="001C495D" w:rsidRPr="001C495D">
              <w:rPr>
                <w:rFonts w:ascii="Merriweather" w:hAnsi="Merriweather" w:cs="Calibri Light"/>
                <w:sz w:val="16"/>
                <w:szCs w:val="16"/>
              </w:rPr>
              <w:t>4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 xml:space="preserve">. 1. 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>202</w:t>
            </w:r>
            <w:r w:rsidR="001C495D" w:rsidRPr="001C495D">
              <w:rPr>
                <w:rFonts w:ascii="Merriweather" w:hAnsi="Merriweather" w:cs="Calibri Light"/>
                <w:sz w:val="16"/>
                <w:szCs w:val="16"/>
              </w:rPr>
              <w:t>5</w:t>
            </w:r>
            <w:r w:rsidR="00D04B34" w:rsidRPr="001C495D">
              <w:rPr>
                <w:rFonts w:ascii="Merriweather" w:hAnsi="Merriweather" w:cs="Calibri Light"/>
                <w:sz w:val="16"/>
                <w:szCs w:val="16"/>
              </w:rPr>
              <w:t>.</w:t>
            </w:r>
          </w:p>
        </w:tc>
      </w:tr>
      <w:tr w:rsidR="00453362" w:rsidRPr="00876A5B" w14:paraId="28E051A2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126EB23C" w14:textId="77777777" w:rsidR="00453362" w:rsidRPr="001C495D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3BB84FF6" w14:textId="77777777" w:rsidR="00453362" w:rsidRPr="001C495D" w:rsidRDefault="00D04B3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Upisan 3. semestar preddiplomskog studija engleskog jezika i književnosti</w:t>
            </w:r>
          </w:p>
        </w:tc>
      </w:tr>
      <w:tr w:rsidR="00453362" w:rsidRPr="00876A5B" w14:paraId="18C4655A" w14:textId="77777777" w:rsidTr="00206607">
        <w:trPr>
          <w:jc w:val="center"/>
        </w:trPr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0A86F58" w14:textId="77777777" w:rsidR="00453362" w:rsidRPr="001C495D" w:rsidRDefault="00453362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453362" w:rsidRPr="00876A5B" w14:paraId="651D7AC2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4170F421" w14:textId="77777777" w:rsidR="00453362" w:rsidRPr="001C495D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255265F0" w14:textId="198144C8" w:rsidR="00453362" w:rsidRPr="001C495D" w:rsidRDefault="006A221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doc. dr. sc. Frane Malenica</w:t>
            </w:r>
          </w:p>
        </w:tc>
      </w:tr>
      <w:tr w:rsidR="006A221A" w:rsidRPr="00876A5B" w14:paraId="04209C07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36FB44C3" w14:textId="77777777" w:rsidR="006A221A" w:rsidRPr="001C495D" w:rsidRDefault="006A221A" w:rsidP="006A221A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6089AFF9" w14:textId="0F38708B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fmalenica@unizd.hr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D30DA12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5E2D1F8F" w14:textId="472FA14A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UTO   11:00 – 13:00</w:t>
            </w:r>
          </w:p>
        </w:tc>
      </w:tr>
      <w:tr w:rsidR="006A221A" w:rsidRPr="00876A5B" w14:paraId="2A4BD042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720E5B4F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2BD1CA54" w14:textId="2D27AA9B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doc. dr. sc. Frane Malenica</w:t>
            </w:r>
          </w:p>
        </w:tc>
      </w:tr>
      <w:tr w:rsidR="006A221A" w:rsidRPr="00876A5B" w14:paraId="5DB335DE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3981425A" w14:textId="77777777" w:rsidR="006A221A" w:rsidRPr="001C495D" w:rsidRDefault="006A221A" w:rsidP="006A221A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2EDB5063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fmalenica@unizd.hr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EA7A9B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712619A8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UTO   11:00 – 13:00</w:t>
            </w:r>
          </w:p>
        </w:tc>
      </w:tr>
      <w:tr w:rsidR="006A221A" w:rsidRPr="00876A5B" w14:paraId="5A3D8918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3F267EF5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42E159C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48C54970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05C15635" w14:textId="77777777" w:rsidR="006A221A" w:rsidRPr="001C495D" w:rsidRDefault="006A221A" w:rsidP="006A221A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6514E5B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DBDEC6E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2A242C5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10C672E4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539F2CFF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1C8E0E47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1D296405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2832580A" w14:textId="77777777" w:rsidR="006A221A" w:rsidRPr="001C495D" w:rsidRDefault="006A221A" w:rsidP="006A221A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2E684ED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A5C527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5C895FB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7F93EC14" w14:textId="77777777" w:rsidTr="00206607">
        <w:trPr>
          <w:jc w:val="center"/>
        </w:trPr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7EECF4F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40446EF6" w14:textId="77777777" w:rsidTr="006A221A">
        <w:trPr>
          <w:jc w:val="center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8D4A80F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41403DC3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8E3469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27D806D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3B4BF1A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01" w:type="dxa"/>
            <w:gridSpan w:val="3"/>
            <w:vAlign w:val="center"/>
          </w:tcPr>
          <w:p w14:paraId="4813F254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terenska nastava</w:t>
            </w:r>
          </w:p>
        </w:tc>
      </w:tr>
      <w:tr w:rsidR="006A221A" w:rsidRPr="00876A5B" w14:paraId="19C46DBA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C61A32B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68BD6D41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6153F23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8240A77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9B24E85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mentorski rad</w:t>
            </w:r>
          </w:p>
        </w:tc>
        <w:tc>
          <w:tcPr>
            <w:tcW w:w="1501" w:type="dxa"/>
            <w:gridSpan w:val="3"/>
            <w:vAlign w:val="center"/>
          </w:tcPr>
          <w:p w14:paraId="287B359C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ostalo</w:t>
            </w:r>
          </w:p>
        </w:tc>
      </w:tr>
      <w:tr w:rsidR="006A221A" w:rsidRPr="00876A5B" w14:paraId="69A157D9" w14:textId="77777777" w:rsidTr="006A221A">
        <w:trPr>
          <w:jc w:val="center"/>
        </w:trPr>
        <w:tc>
          <w:tcPr>
            <w:tcW w:w="3295" w:type="dxa"/>
            <w:gridSpan w:val="8"/>
            <w:shd w:val="clear" w:color="auto" w:fill="F2F2F2" w:themeFill="background1" w:themeFillShade="F2"/>
          </w:tcPr>
          <w:p w14:paraId="1FB23A0F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3" w:type="dxa"/>
            <w:gridSpan w:val="24"/>
            <w:vAlign w:val="center"/>
          </w:tcPr>
          <w:p w14:paraId="136A21DA" w14:textId="77777777" w:rsidR="006A221A" w:rsidRPr="001C495D" w:rsidRDefault="006A221A" w:rsidP="00A13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FF0000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Po završetku ovog kolegija, studenti će moći prepoznati osnovne morfološke jedinice i poznavati metode za određene osnovnih vrsta tih jedinica; znati ulogu flektivnih i derivacijskih morfema te razlike između njih; moći prepoznati prototipne i neprototipne procese tvorbe riječi i njihove pravilnosti i ograničenja; razumjeti pojmove kao što su glave i modifikatori morfoloških jedinica; razumjeti pojam produktivnosti pojedinih morfema i procesa tvorbe riječi te poznavati osnovne metode za izračunavanje produktivnosti; biti svjesni važnosti jezičnih korpusa u lingvističkim i morfološkim istraživanjima, te razumjeti poveznice između morfologije i drugih temeljnih jezičnih razina.</w:t>
            </w:r>
          </w:p>
        </w:tc>
      </w:tr>
      <w:tr w:rsidR="006A221A" w:rsidRPr="00876A5B" w14:paraId="6C826BC4" w14:textId="77777777" w:rsidTr="006A221A">
        <w:trPr>
          <w:jc w:val="center"/>
        </w:trPr>
        <w:tc>
          <w:tcPr>
            <w:tcW w:w="3295" w:type="dxa"/>
            <w:gridSpan w:val="8"/>
            <w:shd w:val="clear" w:color="auto" w:fill="F2F2F2" w:themeFill="background1" w:themeFillShade="F2"/>
          </w:tcPr>
          <w:p w14:paraId="6DB40DC0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3" w:type="dxa"/>
            <w:gridSpan w:val="24"/>
            <w:vAlign w:val="center"/>
          </w:tcPr>
          <w:p w14:paraId="1C8718FC" w14:textId="6E659FE9" w:rsidR="006A221A" w:rsidRPr="001C495D" w:rsidRDefault="006A221A" w:rsidP="00A13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Po završetku ovog kolegija studenti će moći prepoznati i opisati relevantne ideje i koncepte, povezati različite pristupe, izvore spoznaje i znanja kroz interdisciplinarni pristup, primijeniti kritičan i samokritičan pristup u argumentaciji, provesti znanstvene metode istraživanja, primijeniti etička načela u samostalnom i grupnom rješavanju problema i provođenju istraživanja, te prepoznati, tumačiti, povezati i primijeniti fonološke, morfološke i sintaktičke strukture engleskoga jezika.</w:t>
            </w:r>
          </w:p>
          <w:p w14:paraId="2F806A80" w14:textId="13D3BEA9" w:rsidR="006A221A" w:rsidRPr="001C495D" w:rsidRDefault="006A221A" w:rsidP="00A13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FF0000"/>
                <w:sz w:val="16"/>
                <w:szCs w:val="16"/>
              </w:rPr>
            </w:pPr>
          </w:p>
        </w:tc>
      </w:tr>
      <w:tr w:rsidR="006A221A" w:rsidRPr="00876A5B" w14:paraId="1225A2F2" w14:textId="77777777" w:rsidTr="00206607">
        <w:trPr>
          <w:jc w:val="center"/>
        </w:trPr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26D320A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6A221A" w:rsidRPr="00876A5B" w14:paraId="1C174ACD" w14:textId="77777777" w:rsidTr="006A221A">
        <w:trPr>
          <w:trHeight w:val="190"/>
          <w:jc w:val="center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8E8D450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2725D5F5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18DEA1F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C5BAA75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3A74CCF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1" w:type="dxa"/>
            <w:gridSpan w:val="3"/>
            <w:vAlign w:val="center"/>
          </w:tcPr>
          <w:p w14:paraId="143A4FE2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istraživanje</w:t>
            </w:r>
          </w:p>
        </w:tc>
      </w:tr>
      <w:tr w:rsidR="006A221A" w:rsidRPr="00876A5B" w14:paraId="2A178A2A" w14:textId="77777777" w:rsidTr="006A221A">
        <w:trPr>
          <w:trHeight w:val="190"/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49D48B4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60FAFE00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7EF3353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E90AB27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F02D342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projekt</w:t>
            </w:r>
          </w:p>
        </w:tc>
        <w:tc>
          <w:tcPr>
            <w:tcW w:w="1501" w:type="dxa"/>
            <w:gridSpan w:val="3"/>
            <w:vAlign w:val="center"/>
          </w:tcPr>
          <w:p w14:paraId="4A6F4785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seminar</w:t>
            </w:r>
          </w:p>
        </w:tc>
      </w:tr>
      <w:tr w:rsidR="006A221A" w:rsidRPr="00876A5B" w14:paraId="11BED49F" w14:textId="77777777" w:rsidTr="006A221A">
        <w:trPr>
          <w:trHeight w:val="190"/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41C46B8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2BD1FC67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1CCC30D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7639614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0"/>
            <w:vAlign w:val="center"/>
          </w:tcPr>
          <w:p w14:paraId="62813443" w14:textId="2153DF5C" w:rsidR="006A221A" w:rsidRPr="001C495D" w:rsidRDefault="00000000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495D" w:rsidRPr="001C495D"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ostalo:</w:t>
            </w:r>
          </w:p>
        </w:tc>
      </w:tr>
      <w:tr w:rsidR="006A221A" w:rsidRPr="00876A5B" w14:paraId="04B11629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60EF88EA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606458D7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i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Prisutnost na predavanjima (najmanje 70%) i seminarima (najmanje 70%)</w:t>
            </w:r>
          </w:p>
        </w:tc>
      </w:tr>
      <w:tr w:rsidR="006A221A" w:rsidRPr="00876A5B" w14:paraId="06287BCC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18ABE582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Ispitni rokovi</w:t>
            </w:r>
          </w:p>
        </w:tc>
        <w:tc>
          <w:tcPr>
            <w:tcW w:w="2902" w:type="dxa"/>
            <w:gridSpan w:val="14"/>
          </w:tcPr>
          <w:p w14:paraId="15907210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zimski ispitni rok </w:t>
            </w:r>
          </w:p>
        </w:tc>
        <w:tc>
          <w:tcPr>
            <w:tcW w:w="2066" w:type="dxa"/>
            <w:gridSpan w:val="8"/>
          </w:tcPr>
          <w:p w14:paraId="61748E60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ljetni ispitni rok</w:t>
            </w:r>
          </w:p>
        </w:tc>
        <w:tc>
          <w:tcPr>
            <w:tcW w:w="2519" w:type="dxa"/>
            <w:gridSpan w:val="9"/>
          </w:tcPr>
          <w:p w14:paraId="4F86EC6A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jesenski ispitni rok</w:t>
            </w:r>
          </w:p>
        </w:tc>
      </w:tr>
      <w:tr w:rsidR="006A221A" w:rsidRPr="00876A5B" w14:paraId="71ABD718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5A21FA0E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2" w:type="dxa"/>
            <w:gridSpan w:val="14"/>
          </w:tcPr>
          <w:p w14:paraId="080E86AB" w14:textId="0FD56B96" w:rsidR="006A221A" w:rsidRPr="001C495D" w:rsidRDefault="00793F61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8" w:history="1">
              <w:r w:rsidRPr="00165C63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  <w:gridSpan w:val="8"/>
          </w:tcPr>
          <w:p w14:paraId="30511155" w14:textId="4F69EAD3" w:rsidR="006A221A" w:rsidRPr="001C495D" w:rsidRDefault="00793F61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9" w:history="1">
              <w:r w:rsidRPr="00165C63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9"/>
          </w:tcPr>
          <w:p w14:paraId="42B6962B" w14:textId="155C3262" w:rsidR="006A221A" w:rsidRPr="001C495D" w:rsidRDefault="00793F61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10" w:history="1">
              <w:r w:rsidRPr="00165C63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</w:tr>
      <w:tr w:rsidR="006A221A" w:rsidRPr="00876A5B" w14:paraId="306F5FCF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6867AE00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1"/>
            <w:vAlign w:val="center"/>
          </w:tcPr>
          <w:p w14:paraId="6C8B209F" w14:textId="77777777" w:rsidR="006A221A" w:rsidRPr="001C495D" w:rsidRDefault="006A221A" w:rsidP="00A13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Cilj je ovog kolegija pripremiti studente za samostalnu morfološku analizu riječi u engleskome jeziku. Studenti će upoznati temelje engleske morfologije, osnovne teorijske postavke o temeljnim morfološkim jedinicama, usvojiti pravila raznih načina tvorbe riječi u engleskome jeziku, steći uvid u povijesne i kontaktne utjecaje na englesku morfologiju te se upoznati sa različitim pristupima analizi morfologije engleskoj jezika, njenim dijakronijskim i psiholingvističkim aspektima, korpusnolingvističkim načinima proučavanja te s poveznicama morfologije i drugih jezičnih razina, poput fonologije, sintakse i semantike. Metode koje se koriste pri izvođenju ovoga kolegija su: predavanje, seminar na kojemu se rješavaju zadaci iz gradiva s predavanja, seminarski rad s temom iz morfologije engleskoga jezika, iščitavanje dopunske literature iz odabranih nastavnih jedinica i uporaba jezičnih korpusa.</w:t>
            </w:r>
          </w:p>
        </w:tc>
      </w:tr>
      <w:tr w:rsidR="006A221A" w:rsidRPr="00876A5B" w14:paraId="5BA37224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3BBB5F57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1E456FF6" w14:textId="66AC1936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Uvod u kolegij. </w:t>
            </w:r>
          </w:p>
          <w:p w14:paraId="68E504A9" w14:textId="735024E0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Temeljni morfološki pojmovi</w:t>
            </w:r>
          </w:p>
          <w:p w14:paraId="34F0AE7F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Fleksija</w:t>
            </w:r>
          </w:p>
          <w:p w14:paraId="10631595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Tvorba riječi (derivacija)</w:t>
            </w:r>
          </w:p>
          <w:p w14:paraId="41250D3E" w14:textId="64A393AB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Afiksacija i vrsta afiksa</w:t>
            </w:r>
          </w:p>
          <w:p w14:paraId="590EB5A9" w14:textId="253EF636" w:rsidR="006A221A" w:rsidRPr="001C495D" w:rsidRDefault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Prvi kolokvij </w:t>
            </w:r>
          </w:p>
          <w:p w14:paraId="245BFCFF" w14:textId="7B78372D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Tvorba složenica</w:t>
            </w:r>
          </w:p>
          <w:p w14:paraId="78058BFD" w14:textId="4DE9B714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Ostali oblici tvorbe riječi</w:t>
            </w:r>
          </w:p>
          <w:p w14:paraId="07D86273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Struktura riječi</w:t>
            </w:r>
          </w:p>
          <w:p w14:paraId="13457ADF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Drugi kolokvij</w:t>
            </w:r>
          </w:p>
          <w:p w14:paraId="6B876D1D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Dijakronijski aspekti morfologije engleskog jezika</w:t>
            </w:r>
          </w:p>
          <w:p w14:paraId="4571E2E7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Psiholingvistički  i neurolingvistički aspekti morfologije engleskog jezika</w:t>
            </w:r>
          </w:p>
          <w:p w14:paraId="3D1A8B04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Produktivnost i korpusnolingvistički pristupi proučavanju engleskog jezika</w:t>
            </w:r>
          </w:p>
          <w:p w14:paraId="3E53DCCA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Sučelje morfologije i drugih jezičnih razina</w:t>
            </w:r>
          </w:p>
          <w:p w14:paraId="3249FE09" w14:textId="77777777" w:rsidR="006A221A" w:rsidRPr="001C495D" w:rsidRDefault="006A221A" w:rsidP="006A221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i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Priprema za ispit</w:t>
            </w:r>
          </w:p>
        </w:tc>
      </w:tr>
      <w:tr w:rsidR="006A221A" w:rsidRPr="00876A5B" w14:paraId="1F96353E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285EA4DF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51E7D807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1. Carstairs-McCarthy, Andrew. 2002. An Introduction to English Morphology. Edinburgh: Edinburgh University Press.</w:t>
            </w:r>
          </w:p>
          <w:p w14:paraId="4657564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2. Plag, Ingo. 2003. Word-Formation in English. Cambridge: CUP.</w:t>
            </w:r>
          </w:p>
        </w:tc>
      </w:tr>
      <w:tr w:rsidR="006A221A" w:rsidRPr="00876A5B" w14:paraId="5C267834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608555A0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1"/>
            <w:vAlign w:val="center"/>
          </w:tcPr>
          <w:p w14:paraId="7632CD9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1. Aronoff, Mark and Fudeman, Kirsten. 2005. What is Morphology? Oxford: Blackwell.</w:t>
            </w:r>
          </w:p>
          <w:p w14:paraId="1606EEDB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2. Audring, J., &amp; Masini, F. (ur.). (2019). The Oxford handbook of morphological theory (First edition). Oxford: Oxford University Press.</w:t>
            </w:r>
          </w:p>
          <w:p w14:paraId="230613E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3. Bauer, Laurie, Lieber, Rochelle, &amp; Plag, Ingo. 2015. The Oxford Reference Guide to English Morphology. Oxford: OUP.</w:t>
            </w:r>
          </w:p>
          <w:p w14:paraId="3B36AF01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4. Booij, Geert. 2007. The Grammar of Words. An Introduction to Morphology. Oxford: OUP.</w:t>
            </w:r>
          </w:p>
          <w:p w14:paraId="3BE49FA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5. Booij, Geert. 2013. Construction Morphology. 2013. Oxford: OUP.</w:t>
            </w:r>
          </w:p>
          <w:p w14:paraId="4CCD2E18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6. Harley, Heidi. 2006. English Words. A Linguistic Introduction. Oxford: Blackwell.</w:t>
            </w:r>
          </w:p>
          <w:p w14:paraId="766E2E8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7. Haspelmath, Martin and Andrea Sims. 2002. Understanding Morphology. London: Arnold Publishers.</w:t>
            </w:r>
          </w:p>
          <w:p w14:paraId="7BFCBD46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8. Katamba, Francis and Stonham, John. 2006. Morphology. Basingstoke: Palgrave Macmillan.</w:t>
            </w:r>
          </w:p>
          <w:p w14:paraId="29F60F8E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9. Miller, D. G. (2014). English lexicogenesis. Oxford: Oxford University Press.</w:t>
            </w:r>
          </w:p>
          <w:p w14:paraId="5FBF8E6E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10. Müller, Peter O., Ohnheiser, Ingeborg, Olsen, Susan, &amp; Rainer, Franz (ur.). 2015. Word-Formation: An International Handbook of the Languages of Europe (Vol. 1 &amp; 2). Berlin/Boston: de Gruyter Mouton.</w:t>
            </w:r>
          </w:p>
          <w:p w14:paraId="52C7F59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11. Spencer, A., &amp; Zwicky, A. M. (ur.). (2001). The Handbook of Morphology. Oxford, UK: Blackwell Publishing Ltd.</w:t>
            </w:r>
          </w:p>
        </w:tc>
      </w:tr>
      <w:tr w:rsidR="006A221A" w:rsidRPr="00876A5B" w14:paraId="317AE48A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4ADE3982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4A51092B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11" w:history="1">
              <w:r w:rsidR="006A221A" w:rsidRPr="001C495D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https://languages.oup.com</w:t>
              </w:r>
            </w:hyperlink>
          </w:p>
          <w:p w14:paraId="21D98167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12" w:history="1">
              <w:r w:rsidR="006A221A" w:rsidRPr="001C495D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https://www.merriam-webster.com</w:t>
              </w:r>
            </w:hyperlink>
          </w:p>
          <w:p w14:paraId="30460A89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13" w:history="1">
              <w:r w:rsidR="006A221A" w:rsidRPr="001C495D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https://www.oxfordlearnersdictionaries.com</w:t>
              </w:r>
            </w:hyperlink>
          </w:p>
          <w:p w14:paraId="0A0EF381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1C495D">
              <w:rPr>
                <w:rFonts w:ascii="Merriweather" w:eastAsia="MS Gothic" w:hAnsi="Merriweather"/>
                <w:sz w:val="16"/>
                <w:szCs w:val="16"/>
              </w:rPr>
              <w:t>https://www.etymonline.com</w:t>
            </w:r>
          </w:p>
          <w:p w14:paraId="7AA04525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14" w:history="1">
              <w:r w:rsidR="006A221A" w:rsidRPr="001C495D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https://www.english-corpora.org</w:t>
              </w:r>
            </w:hyperlink>
          </w:p>
          <w:p w14:paraId="71899FDD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15" w:history="1">
              <w:r w:rsidR="006A221A" w:rsidRPr="001C495D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https://www.sketchengine.eu</w:t>
              </w:r>
            </w:hyperlink>
          </w:p>
          <w:p w14:paraId="47C6D23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</w:tc>
      </w:tr>
      <w:tr w:rsidR="006A221A" w:rsidRPr="00876A5B" w14:paraId="332C082F" w14:textId="77777777" w:rsidTr="006A221A">
        <w:trPr>
          <w:jc w:val="center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29E5F31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20B6CB92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4" w:type="dxa"/>
            <w:gridSpan w:val="5"/>
          </w:tcPr>
          <w:p w14:paraId="1FAC61AE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</w:tc>
      </w:tr>
      <w:tr w:rsidR="006A221A" w:rsidRPr="00876A5B" w14:paraId="6A5845E9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B42C0DA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AED3381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završni</w:t>
            </w:r>
          </w:p>
          <w:p w14:paraId="48DD9A34" w14:textId="77777777" w:rsidR="006A221A" w:rsidRPr="001C495D" w:rsidRDefault="006A221A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8719B86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završni</w:t>
            </w:r>
          </w:p>
          <w:p w14:paraId="39684D54" w14:textId="77777777" w:rsidR="006A221A" w:rsidRPr="001C495D" w:rsidRDefault="006A221A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16B6DD9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4" w:type="dxa"/>
            <w:gridSpan w:val="5"/>
            <w:vAlign w:val="center"/>
          </w:tcPr>
          <w:p w14:paraId="416211F9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A221A" w:rsidRPr="00876A5B" w14:paraId="40B9D67E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77EEE49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3B883CEA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95A10A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B4FFA24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seminarski</w:t>
            </w:r>
          </w:p>
          <w:p w14:paraId="363BF425" w14:textId="77777777" w:rsidR="006A221A" w:rsidRPr="001C495D" w:rsidRDefault="006A221A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5120AB4" w14:textId="77777777" w:rsidR="006A221A" w:rsidRPr="001C495D" w:rsidRDefault="00000000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seminarski</w:t>
            </w:r>
          </w:p>
          <w:p w14:paraId="10317E60" w14:textId="77777777" w:rsidR="006A221A" w:rsidRPr="001C495D" w:rsidRDefault="006A221A" w:rsidP="006A221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5C9DA54" w14:textId="77777777" w:rsidR="006A221A" w:rsidRPr="001C495D" w:rsidRDefault="00000000" w:rsidP="006A221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5" w:type="dxa"/>
            <w:gridSpan w:val="2"/>
            <w:vAlign w:val="center"/>
          </w:tcPr>
          <w:p w14:paraId="3BC99DDC" w14:textId="77777777" w:rsidR="006A221A" w:rsidRPr="001C495D" w:rsidRDefault="00000000" w:rsidP="006A221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6A221A" w:rsidRPr="001C495D">
              <w:rPr>
                <w:rFonts w:ascii="Merriweather" w:hAnsi="Merriweather" w:cs="Calibri Light"/>
                <w:sz w:val="16"/>
                <w:szCs w:val="16"/>
                <w:lang w:eastAsia="hr-HR"/>
              </w:rPr>
              <w:t>drugi oblici</w:t>
            </w:r>
          </w:p>
        </w:tc>
      </w:tr>
      <w:tr w:rsidR="006A221A" w:rsidRPr="00876A5B" w14:paraId="0371FDDB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346663E2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3470ADE3" w14:textId="670F79F0" w:rsidR="002D2B3F" w:rsidRPr="001C495D" w:rsidRDefault="002D2B3F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Konačna se ocjena formira na temelju rezultata </w:t>
            </w:r>
            <w:r w:rsidR="00AE15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završnog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ispita ili dvaju kolokvija</w:t>
            </w:r>
            <w:r w:rsidR="00DF69EA" w:rsidRPr="001C495D">
              <w:rPr>
                <w:rFonts w:ascii="Merriweather" w:eastAsia="MS Gothic" w:hAnsi="Merriweather" w:cs="Calibri Light"/>
                <w:sz w:val="16"/>
                <w:szCs w:val="16"/>
              </w:rPr>
              <w:t>,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koji služe kao zamjena za završni ispit</w:t>
            </w:r>
            <w:r w:rsidR="00DF69EA" w:rsidRPr="001C495D">
              <w:rPr>
                <w:rFonts w:ascii="Merriweather" w:eastAsia="MS Gothic" w:hAnsi="Merriweather" w:cs="Calibri Light"/>
                <w:sz w:val="16"/>
                <w:szCs w:val="16"/>
              </w:rPr>
              <w:t>,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i seminarskog rada</w:t>
            </w:r>
            <w:r w:rsidR="00AE15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.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Završni ispit ili kolokviji čine 80 % završne ocjene</w:t>
            </w:r>
            <w:r w:rsidR="00AE159E"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, pri čemu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svaki kolokvij čini po 40 % završne ocjene</w:t>
            </w:r>
            <w:r w:rsidR="00AE15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,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a seminarski rad čini 20 % završne ocjene, kao što se može vidjeti u nastavku</w:t>
            </w:r>
            <w:r w:rsidR="00AE15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:</w:t>
            </w:r>
          </w:p>
          <w:p w14:paraId="00FB8F55" w14:textId="77777777" w:rsidR="00AE159E" w:rsidRPr="001C495D" w:rsidRDefault="00AE159E" w:rsidP="00A13D5B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tbl>
            <w:tblPr>
              <w:tblW w:w="4376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460"/>
              <w:gridCol w:w="660"/>
              <w:gridCol w:w="580"/>
              <w:gridCol w:w="640"/>
              <w:gridCol w:w="546"/>
              <w:gridCol w:w="850"/>
            </w:tblGrid>
            <w:tr w:rsidR="002D2B3F" w:rsidRPr="001C495D" w14:paraId="2A2C9AA6" w14:textId="77777777" w:rsidTr="00F56BDD">
              <w:trPr>
                <w:trHeight w:val="345"/>
              </w:trPr>
              <w:tc>
                <w:tcPr>
                  <w:tcW w:w="6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BAEAF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K1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96BE1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+</w:t>
                  </w:r>
                </w:p>
              </w:tc>
              <w:tc>
                <w:tcPr>
                  <w:tcW w:w="66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C7DB1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K2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EB8CF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ILI</w:t>
                  </w:r>
                </w:p>
              </w:tc>
              <w:tc>
                <w:tcPr>
                  <w:tcW w:w="6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497F1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ZI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5E1F9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AFD19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SR</w:t>
                  </w:r>
                </w:p>
              </w:tc>
            </w:tr>
            <w:tr w:rsidR="002D2B3F" w:rsidRPr="001C495D" w14:paraId="210FC228" w14:textId="77777777" w:rsidTr="00F56BDD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5A1BB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40%</w:t>
                  </w:r>
                </w:p>
              </w:tc>
              <w:tc>
                <w:tcPr>
                  <w:tcW w:w="460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8A4B18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F881F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40%</w:t>
                  </w:r>
                </w:p>
              </w:tc>
              <w:tc>
                <w:tcPr>
                  <w:tcW w:w="5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55C5F423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3D715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80%</w:t>
                  </w:r>
                </w:p>
              </w:tc>
              <w:tc>
                <w:tcPr>
                  <w:tcW w:w="546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2DCEF77A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8DBA8" w14:textId="77777777" w:rsidR="002D2B3F" w:rsidRPr="001C495D" w:rsidRDefault="002D2B3F" w:rsidP="00A13D5B">
                  <w:pPr>
                    <w:spacing w:before="20" w:after="20"/>
                    <w:jc w:val="both"/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</w:pPr>
                  <w:r w:rsidRPr="001C495D">
                    <w:rPr>
                      <w:rFonts w:ascii="Merriweather" w:eastAsia="MS Gothic" w:hAnsi="Merriweather" w:cs="Calibri Light"/>
                      <w:sz w:val="16"/>
                      <w:szCs w:val="16"/>
                      <w:lang w:val="en-GB"/>
                    </w:rPr>
                    <w:t>20%</w:t>
                  </w:r>
                </w:p>
              </w:tc>
            </w:tr>
          </w:tbl>
          <w:p w14:paraId="74983166" w14:textId="77777777" w:rsidR="002D2B3F" w:rsidRPr="001C495D" w:rsidRDefault="002D2B3F" w:rsidP="00A13D5B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0DAC1117" w14:textId="2C8C9D03" w:rsidR="002D2B3F" w:rsidRPr="001C495D" w:rsidRDefault="002D2B3F" w:rsidP="002D2B3F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K1 = 1. kolokvij; K2 = 2. kolokvij; ZI = Završni ispit; SR = Seminarski rad</w:t>
            </w:r>
          </w:p>
          <w:p w14:paraId="29703496" w14:textId="77777777" w:rsidR="002D2B3F" w:rsidRPr="001C495D" w:rsidRDefault="002D2B3F" w:rsidP="00A13D5B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1D185CB9" w14:textId="3B6508C4" w:rsidR="002D2B3F" w:rsidRPr="001C495D" w:rsidRDefault="002D2B3F" w:rsidP="002D2B3F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Ukoliko jedan ili oba kolokvija nisu pozitivno ocijenjeni (60% i više), student treba pisati završni ispit</w:t>
            </w:r>
            <w:r w:rsidR="007618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,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a konačna se ocjena u tom slučaju formira na temelju rezultata završnog ispita i seminarskog rada. </w:t>
            </w:r>
            <w:r w:rsidR="0076189E" w:rsidRPr="001C495D">
              <w:rPr>
                <w:rFonts w:ascii="Merriweather" w:eastAsia="MS Gothic" w:hAnsi="Merriweather" w:cs="Calibri Light"/>
                <w:sz w:val="16"/>
                <w:szCs w:val="16"/>
              </w:rPr>
              <w:t>Studenti koji nisu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</w:t>
            </w:r>
            <w:r w:rsidR="0076189E"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zadovoljni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srednjom ocjenom iz dvaju kolokvija</w:t>
            </w:r>
            <w:r w:rsidR="0076189E"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mogu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polagati završni ispit radi ostvarivanja boljeg rezultata i postizanja više ocjene.</w:t>
            </w:r>
          </w:p>
          <w:p w14:paraId="60A4A965" w14:textId="77777777" w:rsidR="002D2B3F" w:rsidRPr="001C495D" w:rsidRDefault="002D2B3F" w:rsidP="00A13D5B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4AA9F5FB" w14:textId="01C3DEF6" w:rsidR="002D2B3F" w:rsidRPr="001C495D" w:rsidRDefault="002D2B3F" w:rsidP="00A13D5B">
            <w:pPr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Seminarski se rad boduje prema parametrima kao što su uspješno obrađivanje zadane teme, logička povezanost teksta, jezična i stilska ispravnost teksta, poštivanje zadanih pravila za pisanje seminarskog rada i sl. Student</w:t>
            </w:r>
            <w:r w:rsidR="007A7439" w:rsidRPr="001C495D">
              <w:rPr>
                <w:rFonts w:ascii="Merriweather" w:eastAsia="MS Gothic" w:hAnsi="Merriweather" w:cs="Calibri Light"/>
                <w:sz w:val="16"/>
                <w:szCs w:val="16"/>
              </w:rPr>
              <w:t>i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ne mora</w:t>
            </w:r>
            <w:r w:rsidR="007A7439" w:rsidRPr="001C495D">
              <w:rPr>
                <w:rFonts w:ascii="Merriweather" w:eastAsia="MS Gothic" w:hAnsi="Merriweather" w:cs="Calibri Light"/>
                <w:sz w:val="16"/>
                <w:szCs w:val="16"/>
              </w:rPr>
              <w:t>ju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ostvariti pozitivnu ocjenu iz seminarskog rada kako bi konačna ocjena bila pozitivna. </w:t>
            </w:r>
            <w:r w:rsidR="007A7439"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Studenti koji nisu zadovoljni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ocjenom seminarskog rada</w:t>
            </w:r>
            <w:r w:rsidR="007A7439"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mogu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odabrati novu temu i napisati novi seminarski rad za višu ocjenu. Seminarski rad mora biti poslan najkasnije do početka predavanja u 15. tjednu nastave.</w:t>
            </w:r>
          </w:p>
          <w:p w14:paraId="5712B336" w14:textId="526562EF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</w:tc>
      </w:tr>
      <w:tr w:rsidR="006A221A" w:rsidRPr="00876A5B" w14:paraId="69B3CBC8" w14:textId="77777777" w:rsidTr="006A221A">
        <w:trPr>
          <w:jc w:val="center"/>
        </w:trPr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72468DD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4" w:type="dxa"/>
            <w:gridSpan w:val="6"/>
            <w:vAlign w:val="center"/>
          </w:tcPr>
          <w:p w14:paraId="5AD7C9D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&lt;60%</w:t>
            </w:r>
          </w:p>
        </w:tc>
        <w:tc>
          <w:tcPr>
            <w:tcW w:w="6063" w:type="dxa"/>
            <w:gridSpan w:val="25"/>
            <w:vAlign w:val="center"/>
          </w:tcPr>
          <w:p w14:paraId="23680C7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% nedovoljan (1)</w:t>
            </w:r>
          </w:p>
        </w:tc>
      </w:tr>
      <w:tr w:rsidR="006A221A" w:rsidRPr="00876A5B" w14:paraId="28285F74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19DB696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0A7266CC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60-69%</w:t>
            </w:r>
          </w:p>
        </w:tc>
        <w:tc>
          <w:tcPr>
            <w:tcW w:w="6063" w:type="dxa"/>
            <w:gridSpan w:val="25"/>
            <w:vAlign w:val="center"/>
          </w:tcPr>
          <w:p w14:paraId="61DE4C77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% dovoljan (2)</w:t>
            </w:r>
          </w:p>
        </w:tc>
      </w:tr>
      <w:tr w:rsidR="006A221A" w:rsidRPr="00876A5B" w14:paraId="4592AAC3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FE2A009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4224A45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70-79%</w:t>
            </w:r>
          </w:p>
        </w:tc>
        <w:tc>
          <w:tcPr>
            <w:tcW w:w="6063" w:type="dxa"/>
            <w:gridSpan w:val="25"/>
            <w:vAlign w:val="center"/>
          </w:tcPr>
          <w:p w14:paraId="5287FA1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% dobar (3)</w:t>
            </w:r>
          </w:p>
        </w:tc>
      </w:tr>
      <w:tr w:rsidR="006A221A" w:rsidRPr="00876A5B" w14:paraId="58AF53C1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6ADC339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73272703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80-89%</w:t>
            </w:r>
          </w:p>
        </w:tc>
        <w:tc>
          <w:tcPr>
            <w:tcW w:w="6063" w:type="dxa"/>
            <w:gridSpan w:val="25"/>
            <w:vAlign w:val="center"/>
          </w:tcPr>
          <w:p w14:paraId="40109EF8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% vrlo dobar (4)</w:t>
            </w:r>
          </w:p>
        </w:tc>
      </w:tr>
      <w:tr w:rsidR="006A221A" w:rsidRPr="00876A5B" w14:paraId="0E8FEE99" w14:textId="77777777" w:rsidTr="006A221A">
        <w:trPr>
          <w:jc w:val="center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92CEDC6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BAABCE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/>
                <w:sz w:val="16"/>
                <w:szCs w:val="16"/>
              </w:rPr>
              <w:t>≥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 xml:space="preserve"> 90%</w:t>
            </w:r>
          </w:p>
        </w:tc>
        <w:tc>
          <w:tcPr>
            <w:tcW w:w="6063" w:type="dxa"/>
            <w:gridSpan w:val="25"/>
            <w:vAlign w:val="center"/>
          </w:tcPr>
          <w:p w14:paraId="501D4940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sz w:val="16"/>
                <w:szCs w:val="16"/>
              </w:rPr>
              <w:t>% izvrstan (5)</w:t>
            </w:r>
          </w:p>
        </w:tc>
      </w:tr>
      <w:tr w:rsidR="006A221A" w:rsidRPr="00876A5B" w14:paraId="6110E9FB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42C12EF6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083362DF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studentska evaluacija nastave na razini Sveučilišta </w:t>
            </w:r>
          </w:p>
          <w:p w14:paraId="3664ADC6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studentska evaluacija nastave na razini sastavnice</w:t>
            </w:r>
          </w:p>
          <w:p w14:paraId="4F6B5793" w14:textId="1D5F0359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41E5" w:rsidRPr="001C495D"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interna evaluacija nastave </w:t>
            </w:r>
          </w:p>
          <w:p w14:paraId="640B89A7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9ACB10C" w14:textId="77777777" w:rsidR="006A221A" w:rsidRPr="001C495D" w:rsidRDefault="00000000" w:rsidP="006A221A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21A" w:rsidRPr="001C49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221A" w:rsidRPr="001C495D">
              <w:rPr>
                <w:rFonts w:ascii="Merriweather" w:hAnsi="Merriweather" w:cs="Calibri Light"/>
                <w:sz w:val="16"/>
                <w:szCs w:val="16"/>
              </w:rPr>
              <w:t xml:space="preserve"> ostalo</w:t>
            </w:r>
          </w:p>
        </w:tc>
      </w:tr>
      <w:tr w:rsidR="006A221A" w:rsidRPr="00876A5B" w14:paraId="23594B06" w14:textId="77777777" w:rsidTr="006A221A">
        <w:trPr>
          <w:jc w:val="center"/>
        </w:trPr>
        <w:tc>
          <w:tcPr>
            <w:tcW w:w="1801" w:type="dxa"/>
            <w:shd w:val="clear" w:color="auto" w:fill="F2F2F2" w:themeFill="background1" w:themeFillShade="F2"/>
          </w:tcPr>
          <w:p w14:paraId="60ED2D1B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Napomena / </w:t>
            </w:r>
          </w:p>
          <w:p w14:paraId="05E8465E" w14:textId="77777777" w:rsidR="006A221A" w:rsidRPr="001C495D" w:rsidRDefault="006A221A" w:rsidP="006A221A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1C495D">
              <w:rPr>
                <w:rFonts w:ascii="Merriweather" w:hAnsi="Merriweather" w:cs="Calibri Light"/>
                <w:b/>
                <w:sz w:val="16"/>
                <w:szCs w:val="16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3AE04AA8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Sukladno čl. 6. </w:t>
            </w:r>
            <w:r w:rsidRPr="001C495D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Etičkog kodeksa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99CE5F3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Prema čl. 14. </w:t>
            </w:r>
            <w:r w:rsidRPr="001C495D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Etičkog kodeksa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C495D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[…] </w:t>
            </w:r>
          </w:p>
          <w:p w14:paraId="232E69BB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69AE53A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F58C80C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BFF565D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C495D">
                <w:rPr>
                  <w:rStyle w:val="Hyperlink"/>
                  <w:rFonts w:ascii="Merriweather" w:eastAsia="MS Gothic" w:hAnsi="Merriweather" w:cs="Calibri Light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.</w:t>
            </w:r>
          </w:p>
          <w:p w14:paraId="1DA11E1B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490CB000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C8C0B4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5E955E8E" w14:textId="77777777" w:rsidR="006A221A" w:rsidRPr="001C495D" w:rsidRDefault="006A221A" w:rsidP="006A221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1C495D">
              <w:rPr>
                <w:rFonts w:ascii="Merriweather" w:eastAsia="MS Gothic" w:hAnsi="Merriweather" w:cs="Calibri Light"/>
                <w:sz w:val="16"/>
                <w:szCs w:val="16"/>
              </w:rPr>
              <w:t>U kolegiju se koristi Merlin, sustav za e-učenje, pa su studentima/cama potrebni AAI računi.</w:t>
            </w:r>
          </w:p>
        </w:tc>
      </w:tr>
    </w:tbl>
    <w:p w14:paraId="339FEC10" w14:textId="77777777" w:rsidR="00794496" w:rsidRPr="00876A5B" w:rsidRDefault="00794496">
      <w:pPr>
        <w:rPr>
          <w:rFonts w:ascii="Merriweather" w:hAnsi="Merriweather" w:cs="Calibri Light"/>
          <w:sz w:val="18"/>
          <w:szCs w:val="18"/>
        </w:rPr>
      </w:pPr>
    </w:p>
    <w:sectPr w:rsidR="00794496" w:rsidRPr="00876A5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9D21" w14:textId="77777777" w:rsidR="007E1AE0" w:rsidRDefault="007E1AE0" w:rsidP="009947BA">
      <w:pPr>
        <w:spacing w:before="0" w:after="0"/>
      </w:pPr>
      <w:r>
        <w:separator/>
      </w:r>
    </w:p>
  </w:endnote>
  <w:endnote w:type="continuationSeparator" w:id="0">
    <w:p w14:paraId="3CB95321" w14:textId="77777777" w:rsidR="007E1AE0" w:rsidRDefault="007E1AE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CA6C" w14:textId="77777777" w:rsidR="007E1AE0" w:rsidRDefault="007E1AE0" w:rsidP="009947BA">
      <w:pPr>
        <w:spacing w:before="0" w:after="0"/>
      </w:pPr>
      <w:r>
        <w:separator/>
      </w:r>
    </w:p>
  </w:footnote>
  <w:footnote w:type="continuationSeparator" w:id="0">
    <w:p w14:paraId="70AFD104" w14:textId="77777777" w:rsidR="007E1AE0" w:rsidRDefault="007E1AE0" w:rsidP="009947BA">
      <w:pPr>
        <w:spacing w:before="0" w:after="0"/>
      </w:pPr>
      <w:r>
        <w:continuationSeparator/>
      </w:r>
    </w:p>
  </w:footnote>
  <w:footnote w:id="1">
    <w:p w14:paraId="214B168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7D65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542C4" wp14:editId="713F37C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56F7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DEB156C" wp14:editId="2EA19EF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542C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256F7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DEB156C" wp14:editId="2EA19EF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1D669E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9A8B394" w14:textId="77777777" w:rsidR="0079745E" w:rsidRDefault="0079745E" w:rsidP="0079745E">
    <w:pPr>
      <w:pStyle w:val="Header"/>
    </w:pPr>
  </w:p>
  <w:p w14:paraId="07FE229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91E"/>
    <w:multiLevelType w:val="hybridMultilevel"/>
    <w:tmpl w:val="93B03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42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C2D54"/>
    <w:rsid w:val="000C41E5"/>
    <w:rsid w:val="000C50DF"/>
    <w:rsid w:val="0010332B"/>
    <w:rsid w:val="001269ED"/>
    <w:rsid w:val="001443A2"/>
    <w:rsid w:val="00150B32"/>
    <w:rsid w:val="0016794F"/>
    <w:rsid w:val="00197510"/>
    <w:rsid w:val="001C495D"/>
    <w:rsid w:val="001C7C51"/>
    <w:rsid w:val="001E1EF7"/>
    <w:rsid w:val="00206607"/>
    <w:rsid w:val="00226462"/>
    <w:rsid w:val="0022722C"/>
    <w:rsid w:val="00245DA9"/>
    <w:rsid w:val="0028545A"/>
    <w:rsid w:val="002D2B3F"/>
    <w:rsid w:val="002E1CE6"/>
    <w:rsid w:val="002F2D22"/>
    <w:rsid w:val="00307450"/>
    <w:rsid w:val="00310F9A"/>
    <w:rsid w:val="00316817"/>
    <w:rsid w:val="00326091"/>
    <w:rsid w:val="00357643"/>
    <w:rsid w:val="00371634"/>
    <w:rsid w:val="00386E9C"/>
    <w:rsid w:val="00393964"/>
    <w:rsid w:val="003F11B6"/>
    <w:rsid w:val="003F17B8"/>
    <w:rsid w:val="0041078D"/>
    <w:rsid w:val="00430D1B"/>
    <w:rsid w:val="00453362"/>
    <w:rsid w:val="00461219"/>
    <w:rsid w:val="00463524"/>
    <w:rsid w:val="00470F6D"/>
    <w:rsid w:val="00483BC3"/>
    <w:rsid w:val="004872DD"/>
    <w:rsid w:val="004970D3"/>
    <w:rsid w:val="004B1B3D"/>
    <w:rsid w:val="004B34C0"/>
    <w:rsid w:val="004B43A3"/>
    <w:rsid w:val="004B553E"/>
    <w:rsid w:val="004C0010"/>
    <w:rsid w:val="004E605D"/>
    <w:rsid w:val="00507C65"/>
    <w:rsid w:val="00527C5F"/>
    <w:rsid w:val="005353ED"/>
    <w:rsid w:val="00543EA8"/>
    <w:rsid w:val="005514C3"/>
    <w:rsid w:val="005524E0"/>
    <w:rsid w:val="00581938"/>
    <w:rsid w:val="005A69F5"/>
    <w:rsid w:val="005E1668"/>
    <w:rsid w:val="005E5F80"/>
    <w:rsid w:val="005F6E0B"/>
    <w:rsid w:val="0062328F"/>
    <w:rsid w:val="00637458"/>
    <w:rsid w:val="00667CB8"/>
    <w:rsid w:val="00684BBC"/>
    <w:rsid w:val="006A221A"/>
    <w:rsid w:val="006B4920"/>
    <w:rsid w:val="006C1E73"/>
    <w:rsid w:val="006E7CC4"/>
    <w:rsid w:val="00700D7A"/>
    <w:rsid w:val="00721260"/>
    <w:rsid w:val="0072622E"/>
    <w:rsid w:val="007361E7"/>
    <w:rsid w:val="007368EB"/>
    <w:rsid w:val="0076189E"/>
    <w:rsid w:val="00763DD4"/>
    <w:rsid w:val="0078125F"/>
    <w:rsid w:val="00793F61"/>
    <w:rsid w:val="00794496"/>
    <w:rsid w:val="0079537A"/>
    <w:rsid w:val="007967CC"/>
    <w:rsid w:val="0079745E"/>
    <w:rsid w:val="00797B40"/>
    <w:rsid w:val="007A7439"/>
    <w:rsid w:val="007C43A4"/>
    <w:rsid w:val="007D4D2D"/>
    <w:rsid w:val="007E1AE0"/>
    <w:rsid w:val="007E5402"/>
    <w:rsid w:val="007F0774"/>
    <w:rsid w:val="008004B4"/>
    <w:rsid w:val="00807424"/>
    <w:rsid w:val="00846769"/>
    <w:rsid w:val="00846A6B"/>
    <w:rsid w:val="00862612"/>
    <w:rsid w:val="00865776"/>
    <w:rsid w:val="00874D5D"/>
    <w:rsid w:val="00876A5B"/>
    <w:rsid w:val="00891C60"/>
    <w:rsid w:val="008942F0"/>
    <w:rsid w:val="008D45DB"/>
    <w:rsid w:val="008E715A"/>
    <w:rsid w:val="0090214F"/>
    <w:rsid w:val="0090798F"/>
    <w:rsid w:val="009163E6"/>
    <w:rsid w:val="009760E8"/>
    <w:rsid w:val="009947BA"/>
    <w:rsid w:val="00997AC0"/>
    <w:rsid w:val="00997F41"/>
    <w:rsid w:val="009A3A9D"/>
    <w:rsid w:val="009A6AF2"/>
    <w:rsid w:val="009C56B1"/>
    <w:rsid w:val="009D5226"/>
    <w:rsid w:val="009E1AEF"/>
    <w:rsid w:val="009E2FD4"/>
    <w:rsid w:val="009F4F37"/>
    <w:rsid w:val="00A06750"/>
    <w:rsid w:val="00A13D5B"/>
    <w:rsid w:val="00A9132B"/>
    <w:rsid w:val="00AA1A5A"/>
    <w:rsid w:val="00AB2387"/>
    <w:rsid w:val="00AD23FB"/>
    <w:rsid w:val="00AE159E"/>
    <w:rsid w:val="00B55C21"/>
    <w:rsid w:val="00B71A57"/>
    <w:rsid w:val="00B7307A"/>
    <w:rsid w:val="00B948CD"/>
    <w:rsid w:val="00C02454"/>
    <w:rsid w:val="00C3477B"/>
    <w:rsid w:val="00C407EC"/>
    <w:rsid w:val="00C85956"/>
    <w:rsid w:val="00C9733D"/>
    <w:rsid w:val="00CA3783"/>
    <w:rsid w:val="00CB23F4"/>
    <w:rsid w:val="00CB5881"/>
    <w:rsid w:val="00D04B34"/>
    <w:rsid w:val="00D136E4"/>
    <w:rsid w:val="00D15543"/>
    <w:rsid w:val="00D20016"/>
    <w:rsid w:val="00D5334D"/>
    <w:rsid w:val="00D53E34"/>
    <w:rsid w:val="00D5523D"/>
    <w:rsid w:val="00D944DF"/>
    <w:rsid w:val="00DD110C"/>
    <w:rsid w:val="00DE6D53"/>
    <w:rsid w:val="00DF69EA"/>
    <w:rsid w:val="00E064CF"/>
    <w:rsid w:val="00E06E39"/>
    <w:rsid w:val="00E07D73"/>
    <w:rsid w:val="00E165A5"/>
    <w:rsid w:val="00E17D18"/>
    <w:rsid w:val="00E30E67"/>
    <w:rsid w:val="00E96C9A"/>
    <w:rsid w:val="00EB5A72"/>
    <w:rsid w:val="00F02A8F"/>
    <w:rsid w:val="00F22855"/>
    <w:rsid w:val="00F23A89"/>
    <w:rsid w:val="00F341E5"/>
    <w:rsid w:val="00F513E0"/>
    <w:rsid w:val="00F566DA"/>
    <w:rsid w:val="00F56F3B"/>
    <w:rsid w:val="00F82834"/>
    <w:rsid w:val="00F84F5E"/>
    <w:rsid w:val="00FC2198"/>
    <w:rsid w:val="00FC283E"/>
    <w:rsid w:val="00FE1E7B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AE4F9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1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7C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hyperlink" Target="https://www.oxfordlearnersdictionarie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rriam-webste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guages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etchengine.eu" TargetMode="External"/><Relationship Id="rId10" Type="http://schemas.openxmlformats.org/officeDocument/2006/relationships/hyperlink" Target="https://anglistika.unizd.hr/ispitni-rokov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yperlink" Target="https://www.english-corpor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DE3C-D63D-41A8-98C5-099778AF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4</cp:revision>
  <cp:lastPrinted>2023-09-11T09:14:00Z</cp:lastPrinted>
  <dcterms:created xsi:type="dcterms:W3CDTF">2024-08-30T09:03:00Z</dcterms:created>
  <dcterms:modified xsi:type="dcterms:W3CDTF">2024-09-26T15:03:00Z</dcterms:modified>
</cp:coreProperties>
</file>